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auto"/>
          <w:kern w:val="20"/>
          <w:sz w:val="21"/>
          <w:szCs w:val="21"/>
          <w:highlight w:val="none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auto"/>
          <w:kern w:val="20"/>
          <w:sz w:val="36"/>
          <w:szCs w:val="36"/>
          <w:highlight w:val="none"/>
          <w:u w:val="none"/>
          <w:lang w:val="en-US" w:eastAsia="zh-CN"/>
        </w:rPr>
        <w:t>郴州雄风环保科技有限公司自产海绵铜询价邀请函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郴州雄风环保科技有限公司 2025 年12月1日至 2025 年12月 31日自产海绵铜约35吨销售邀请报价，欢迎符合条件的公司参与报价。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产品名称：海绵铜</w:t>
      </w:r>
    </w:p>
    <w:p w14:paraId="729B97E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关要求。</w:t>
      </w:r>
    </w:p>
    <w:p w14:paraId="63F29FE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4、此次报价销售的数量预计35吨，如由于停产等特殊原因导致没有销售，报价方不得有异议，最终以过磅实际数据为准进行结算。 </w:t>
      </w:r>
    </w:p>
    <w:p w14:paraId="34D8738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5、报价有效期为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2025 年 12月 10日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。 </w:t>
      </w:r>
    </w:p>
    <w:p w14:paraId="0CE006C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6、市场价格波动超过 20%时，我司有权进行重新询价后销售。 </w:t>
      </w:r>
    </w:p>
    <w:p w14:paraId="265A25A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7、参与报价客户及合同履行过程中不得以任何名义向有关工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</w:p>
    <w:p w14:paraId="549220F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3、报价人的贮存场地符合一般固废存放标准。报价方如因存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承担责任，销售方对海绵铜销售的记录不视为销售方允许报价方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体中心招标公告栏查阅海绵铜销售公开报价详细信息。在网站内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四、报价时间： </w:t>
      </w:r>
    </w:p>
    <w:p w14:paraId="6F526BF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2025年12月10日上午11点整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定邮箱： </w:t>
      </w:r>
    </w:p>
    <w:p w14:paraId="569A9718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报价联系人及电话：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闫程 13662687237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 </w:t>
      </w:r>
    </w:p>
    <w:p w14:paraId="6462462B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2025 年 12月 4 日</w:t>
      </w:r>
    </w:p>
    <w:p w14:paraId="7C316711">
      <w:pPr>
        <w:pStyle w:val="24"/>
        <w:rPr>
          <w:rFonts w:hint="default"/>
          <w:color w:val="auto"/>
          <w:highlight w:val="none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</w:pP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我单位收到贵单位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后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，经详细研究，决定参加该项目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。为此，我方郑重声明以下诸点，并负法律责任。</w:t>
      </w:r>
    </w:p>
    <w:p w14:paraId="5318BE4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val="en-US" w:eastAsia="zh-CN"/>
        </w:rPr>
        <w:t>1、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愿意满足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中的一切要求，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具体报价祥见下表：</w:t>
      </w:r>
    </w:p>
    <w:p w14:paraId="7A501C37">
      <w:pPr>
        <w:jc w:val="center"/>
        <w:rPr>
          <w:rFonts w:hint="default"/>
          <w:b/>
          <w:bCs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40"/>
          <w:highlight w:val="none"/>
          <w:lang w:val="en-US" w:eastAsia="zh-CN"/>
        </w:rPr>
        <w:t>报价单</w:t>
      </w:r>
    </w:p>
    <w:p w14:paraId="4A7D9405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一、销售品名与数量：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海绵铜，约35吨</w:t>
      </w:r>
    </w:p>
    <w:p w14:paraId="469FE140">
      <w:pPr>
        <w:rPr>
          <w:rFonts w:hint="eastAsia" w:eastAsia="宋体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二、品位区间：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铜5%-35%，金1g/t，银100g/t；</w:t>
      </w:r>
    </w:p>
    <w:p w14:paraId="591A1D0A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三、报价记录：</w:t>
      </w:r>
    </w:p>
    <w:p w14:paraId="4796F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  <w:lang w:val="en-US" w:eastAsia="zh-CN"/>
        </w:rPr>
        <w:t>海绵</w:t>
      </w:r>
      <w:r>
        <w:rPr>
          <w:rFonts w:hint="default"/>
          <w:sz w:val="24"/>
          <w:szCs w:val="24"/>
          <w:lang w:val="en-US" w:eastAsia="zh-CN"/>
        </w:rPr>
        <w:t>铜含铜计价：</w:t>
      </w:r>
    </w:p>
    <w:p w14:paraId="0C2D7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⑴铜品位≥35%时，含税单价＝按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default"/>
          <w:sz w:val="24"/>
          <w:szCs w:val="24"/>
          <w:lang w:val="en-US" w:eastAsia="zh-CN"/>
        </w:rPr>
        <w:t>结算价×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/>
          <w:sz w:val="24"/>
          <w:szCs w:val="24"/>
          <w:lang w:val="en-US" w:eastAsia="zh-CN"/>
        </w:rPr>
        <w:t xml:space="preserve"> 系数×铜品位。</w:t>
      </w:r>
    </w:p>
    <w:p w14:paraId="065B3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⑵铜品位≥30%时，含税单价＝按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结算价</w:t>
      </w:r>
      <w:r>
        <w:rPr>
          <w:rFonts w:hint="default"/>
          <w:sz w:val="24"/>
          <w:szCs w:val="24"/>
          <w:lang w:val="en-US" w:eastAsia="zh-CN"/>
        </w:rPr>
        <w:t>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/>
          <w:sz w:val="24"/>
          <w:szCs w:val="24"/>
          <w:lang w:val="en-US" w:eastAsia="zh-CN"/>
        </w:rPr>
        <w:t xml:space="preserve"> 系数×铜品位。</w:t>
      </w:r>
    </w:p>
    <w:p w14:paraId="667DD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⑶铜品位≥</w:t>
      </w:r>
      <w:r>
        <w:rPr>
          <w:rFonts w:hint="eastAsia"/>
          <w:sz w:val="24"/>
          <w:szCs w:val="24"/>
          <w:lang w:val="en-US" w:eastAsia="zh-CN"/>
        </w:rPr>
        <w:t>25</w:t>
      </w:r>
      <w:r>
        <w:rPr>
          <w:rFonts w:hint="default"/>
          <w:sz w:val="24"/>
          <w:szCs w:val="24"/>
          <w:lang w:val="en-US" w:eastAsia="zh-CN"/>
        </w:rPr>
        <w:t>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结算价</w:t>
      </w:r>
      <w:r>
        <w:rPr>
          <w:rFonts w:hint="default"/>
          <w:sz w:val="24"/>
          <w:szCs w:val="24"/>
          <w:lang w:val="en-US" w:eastAsia="zh-CN"/>
        </w:rPr>
        <w:t xml:space="preserve">×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系数×铜品位。</w:t>
      </w:r>
    </w:p>
    <w:p w14:paraId="278B0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⑶铜品位≥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default"/>
          <w:sz w:val="24"/>
          <w:szCs w:val="24"/>
          <w:lang w:val="en-US" w:eastAsia="zh-CN"/>
        </w:rPr>
        <w:t>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结算价</w:t>
      </w:r>
      <w:r>
        <w:rPr>
          <w:rFonts w:hint="default"/>
          <w:sz w:val="24"/>
          <w:szCs w:val="24"/>
          <w:lang w:val="en-US" w:eastAsia="zh-CN"/>
        </w:rPr>
        <w:t>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/>
          <w:sz w:val="24"/>
          <w:szCs w:val="24"/>
          <w:lang w:val="en-US" w:eastAsia="zh-CN"/>
        </w:rPr>
        <w:t xml:space="preserve"> 系数×铜品位。</w:t>
      </w:r>
    </w:p>
    <w:p w14:paraId="569E3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⑶铜品位≥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default"/>
          <w:sz w:val="24"/>
          <w:szCs w:val="24"/>
          <w:lang w:val="en-US" w:eastAsia="zh-CN"/>
        </w:rPr>
        <w:t>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结算价</w:t>
      </w:r>
      <w:r>
        <w:rPr>
          <w:rFonts w:hint="default"/>
          <w:sz w:val="24"/>
          <w:szCs w:val="24"/>
          <w:lang w:val="en-US" w:eastAsia="zh-CN"/>
        </w:rPr>
        <w:t>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/>
          <w:sz w:val="24"/>
          <w:szCs w:val="24"/>
          <w:lang w:val="en-US" w:eastAsia="zh-CN"/>
        </w:rPr>
        <w:t xml:space="preserve"> 系数×铜品位。</w:t>
      </w:r>
    </w:p>
    <w:p w14:paraId="49527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⑶铜品位≥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default"/>
          <w:sz w:val="24"/>
          <w:szCs w:val="24"/>
          <w:lang w:val="en-US" w:eastAsia="zh-CN"/>
        </w:rPr>
        <w:t>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结算价</w:t>
      </w:r>
      <w:r>
        <w:rPr>
          <w:rFonts w:hint="default"/>
          <w:sz w:val="24"/>
          <w:szCs w:val="24"/>
          <w:lang w:val="en-US" w:eastAsia="zh-CN"/>
        </w:rPr>
        <w:t xml:space="preserve">×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系数×铜品位。</w:t>
      </w:r>
    </w:p>
    <w:p w14:paraId="07117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⑶铜品位≥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default"/>
          <w:sz w:val="24"/>
          <w:szCs w:val="24"/>
          <w:lang w:val="en-US" w:eastAsia="zh-CN"/>
        </w:rPr>
        <w:t>%时，含税单价＝按</w:t>
      </w:r>
      <w:r>
        <w:rPr>
          <w:rFonts w:hint="eastAsia"/>
          <w:sz w:val="24"/>
          <w:szCs w:val="24"/>
          <w:lang w:val="en-US" w:eastAsia="zh-CN"/>
        </w:rPr>
        <w:t>提货日上海有色金属网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有色网1#电解</w:t>
      </w:r>
      <w:r>
        <w:rPr>
          <w:rFonts w:hint="default"/>
          <w:color w:val="auto"/>
          <w:sz w:val="28"/>
          <w:szCs w:val="36"/>
          <w:u w:val="none"/>
          <w:lang w:val="en-US" w:eastAsia="zh-CN"/>
        </w:rPr>
        <w:t>铜</w:t>
      </w:r>
      <w:r>
        <w:rPr>
          <w:rFonts w:hint="eastAsia"/>
          <w:color w:val="auto"/>
          <w:sz w:val="28"/>
          <w:szCs w:val="36"/>
          <w:u w:val="none"/>
          <w:lang w:val="en-US" w:eastAsia="zh-CN"/>
        </w:rPr>
        <w:t>结算价</w:t>
      </w:r>
      <w:r>
        <w:rPr>
          <w:rFonts w:hint="default"/>
          <w:sz w:val="24"/>
          <w:szCs w:val="24"/>
          <w:lang w:val="en-US" w:eastAsia="zh-CN"/>
        </w:rPr>
        <w:t>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/>
          <w:sz w:val="24"/>
          <w:szCs w:val="24"/>
          <w:lang w:val="en-US" w:eastAsia="zh-CN"/>
        </w:rPr>
        <w:t>系数×铜品位。</w:t>
      </w:r>
    </w:p>
    <w:p w14:paraId="4D85EF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2、海绵铜含银计价：</w:t>
      </w:r>
    </w:p>
    <w:p w14:paraId="4F8507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⑴银品位≥100克/吨时，含税单价=</w:t>
      </w:r>
      <w:r>
        <w:rPr>
          <w:rFonts w:hint="eastAsia"/>
          <w:sz w:val="24"/>
          <w:szCs w:val="24"/>
          <w:lang w:val="en-US" w:eastAsia="zh-CN"/>
        </w:rPr>
        <w:t>提货日</w:t>
      </w:r>
      <w:r>
        <w:rPr>
          <w:rFonts w:hint="default"/>
          <w:sz w:val="24"/>
          <w:szCs w:val="24"/>
          <w:lang w:val="en-US" w:eastAsia="zh-CN"/>
        </w:rPr>
        <w:t>上海</w:t>
      </w:r>
      <w:r>
        <w:rPr>
          <w:rFonts w:hint="eastAsia"/>
          <w:sz w:val="24"/>
          <w:szCs w:val="24"/>
          <w:lang w:val="en-US" w:eastAsia="zh-CN"/>
        </w:rPr>
        <w:t>有色网</w:t>
      </w:r>
      <w:r>
        <w:rPr>
          <w:rFonts w:hint="default"/>
          <w:sz w:val="24"/>
          <w:szCs w:val="24"/>
          <w:lang w:val="en-US" w:eastAsia="zh-CN"/>
        </w:rPr>
        <w:t xml:space="preserve"> 2#银结算价×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系数×银品位。</w:t>
      </w:r>
    </w:p>
    <w:p w14:paraId="4EBD61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⑵银品位＜100克/吨时，银不计价。</w:t>
      </w:r>
    </w:p>
    <w:p w14:paraId="79A56E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3、海绵铜含金计价：</w:t>
      </w:r>
    </w:p>
    <w:p w14:paraId="7E3290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⑴金品位≥1克/吨时，含税单价=</w:t>
      </w:r>
      <w:r>
        <w:rPr>
          <w:rFonts w:hint="eastAsia"/>
          <w:sz w:val="24"/>
          <w:szCs w:val="24"/>
          <w:lang w:val="en-US" w:eastAsia="zh-CN"/>
        </w:rPr>
        <w:t>提货日</w:t>
      </w:r>
      <w:r>
        <w:rPr>
          <w:rFonts w:hint="default"/>
          <w:sz w:val="24"/>
          <w:szCs w:val="24"/>
          <w:lang w:val="en-US" w:eastAsia="zh-CN"/>
        </w:rPr>
        <w:t>上海</w:t>
      </w:r>
      <w:r>
        <w:rPr>
          <w:rFonts w:hint="eastAsia"/>
          <w:sz w:val="24"/>
          <w:szCs w:val="24"/>
          <w:lang w:val="en-US" w:eastAsia="zh-CN"/>
        </w:rPr>
        <w:t>有色网</w:t>
      </w:r>
      <w:r>
        <w:rPr>
          <w:rFonts w:hint="default"/>
          <w:sz w:val="24"/>
          <w:szCs w:val="24"/>
          <w:lang w:val="en-US" w:eastAsia="zh-CN"/>
        </w:rPr>
        <w:t xml:space="preserve">Au99.95 </w:t>
      </w:r>
      <w:r>
        <w:rPr>
          <w:rFonts w:hint="eastAsia"/>
          <w:sz w:val="24"/>
          <w:szCs w:val="24"/>
          <w:lang w:val="en-US" w:eastAsia="zh-CN"/>
        </w:rPr>
        <w:t>结算</w:t>
      </w:r>
      <w:r>
        <w:rPr>
          <w:rFonts w:hint="default"/>
          <w:sz w:val="24"/>
          <w:szCs w:val="24"/>
          <w:lang w:val="en-US" w:eastAsia="zh-CN"/>
        </w:rPr>
        <w:t>价×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/>
          <w:sz w:val="24"/>
          <w:szCs w:val="24"/>
          <w:lang w:val="en-US" w:eastAsia="zh-CN"/>
        </w:rPr>
        <w:t xml:space="preserve"> 系数×金品位。</w:t>
      </w:r>
    </w:p>
    <w:p w14:paraId="46227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⑵金品位＜1克/吨时，金不计价。</w:t>
      </w:r>
    </w:p>
    <w:p w14:paraId="42D6CB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4、海绵铜含氯离子≥1%时，以1%为基准，每超0.1%（不足0.1%按0.1%计），每干吨扣款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/>
          <w:sz w:val="24"/>
          <w:szCs w:val="24"/>
          <w:lang w:val="en-US" w:eastAsia="zh-CN"/>
        </w:rPr>
        <w:t>元人民币，海绵铜含氯离子＜1%时，不扣款。</w:t>
      </w:r>
    </w:p>
    <w:p w14:paraId="005010A9">
      <w:pPr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5、海绵铜含砷≥1%时，以1%为基准，每超0.1%（不足0.1%按0.1%计），每干吨扣款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元人民币，海绵铜含干样砷＜1%时，不扣款</w:t>
      </w:r>
      <w:r>
        <w:rPr>
          <w:rFonts w:hint="eastAsia"/>
          <w:sz w:val="24"/>
          <w:szCs w:val="24"/>
          <w:lang w:val="en-US" w:eastAsia="zh-CN"/>
        </w:rPr>
        <w:t>.</w:t>
      </w:r>
    </w:p>
    <w:p w14:paraId="0645398B">
      <w:pPr>
        <w:numPr>
          <w:ilvl w:val="0"/>
          <w:numId w:val="0"/>
        </w:numPr>
        <w:ind w:leftChars="0"/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</w:t>
      </w:r>
    </w:p>
    <w:p w14:paraId="1AEA75CA">
      <w:pPr>
        <w:keepNext w:val="0"/>
        <w:keepLines w:val="0"/>
        <w:widowControl/>
        <w:suppressLineNumbers w:val="0"/>
        <w:ind w:firstLine="484" w:firstLineChars="200"/>
        <w:jc w:val="left"/>
        <w:rPr>
          <w:rFonts w:hint="eastAsia" w:ascii="Calibri" w:hAnsi="Calibri" w:eastAsia="宋体" w:cs="宋体"/>
          <w:b/>
          <w:bCs/>
          <w:color w:val="auto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1、</w:t>
      </w:r>
      <w:r>
        <w:rPr>
          <w:rFonts w:hint="eastAsia" w:ascii="宋体" w:hAnsi="宋体" w:eastAsia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报价邮箱：xfscb@dongjiang.com.cn  截止报价时间：</w:t>
      </w:r>
      <w:bookmarkStart w:id="1" w:name="OLE_LINK1"/>
      <w:r>
        <w:rPr>
          <w:rFonts w:hint="eastAsia" w:ascii="宋体" w:hAnsi="宋体" w:eastAsia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2025年</w:t>
      </w:r>
      <w:r>
        <w:rPr>
          <w:rFonts w:hint="eastAsia" w:ascii="宋体" w:hAnsi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12</w:t>
      </w:r>
      <w:r>
        <w:rPr>
          <w:rFonts w:hint="eastAsia" w:ascii="宋体" w:hAnsi="宋体" w:eastAsia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月</w:t>
      </w:r>
      <w:r>
        <w:rPr>
          <w:rFonts w:hint="eastAsia" w:ascii="宋体" w:hAnsi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10</w:t>
      </w:r>
      <w:r>
        <w:rPr>
          <w:rFonts w:hint="eastAsia" w:ascii="宋体" w:hAnsi="宋体" w:eastAsia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日上午11点整</w:t>
      </w:r>
      <w:bookmarkEnd w:id="1"/>
      <w:r>
        <w:rPr>
          <w:rFonts w:hint="eastAsia" w:ascii="宋体" w:hAnsi="宋体" w:eastAsia="宋体" w:cs="宋体"/>
          <w:b/>
          <w:bCs/>
          <w:color w:val="auto"/>
          <w:kern w:val="20"/>
          <w:sz w:val="24"/>
          <w:szCs w:val="24"/>
          <w:highlight w:val="none"/>
          <w:lang w:val="en-US" w:eastAsia="zh-CN" w:bidi="ar-SA"/>
        </w:rPr>
        <w:t>。注：报价的时候注明公司名称、报价项目以上报价以实际交易数量金额为准</w:t>
      </w:r>
      <w:r>
        <w:rPr>
          <w:rFonts w:hint="eastAsia" w:ascii="Calibri" w:hAnsi="Calibri" w:eastAsia="宋体" w:cs="宋体"/>
          <w:b/>
          <w:bCs/>
          <w:color w:val="auto"/>
          <w:kern w:val="2"/>
          <w:sz w:val="21"/>
          <w:szCs w:val="24"/>
          <w:highlight w:val="none"/>
          <w:lang w:val="en-US" w:eastAsia="zh-CN" w:bidi="ar-SA"/>
        </w:rPr>
        <w:t>。</w:t>
      </w:r>
    </w:p>
    <w:p w14:paraId="226FB8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宋体" w:hAnsi="宋体"/>
          <w:color w:val="auto"/>
          <w:kern w:val="20"/>
          <w:sz w:val="24"/>
          <w:szCs w:val="24"/>
          <w:highlight w:val="none"/>
          <w:lang w:val="en-US" w:eastAsia="zh-CN"/>
        </w:rPr>
      </w:pPr>
    </w:p>
    <w:p w14:paraId="48D97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auto"/>
          <w:kern w:val="2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b/>
          <w:bCs/>
          <w:color w:val="auto"/>
          <w:kern w:val="2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/>
          <w:b/>
          <w:bCs/>
          <w:color w:val="auto"/>
          <w:kern w:val="20"/>
          <w:sz w:val="24"/>
          <w:szCs w:val="24"/>
          <w:highlight w:val="none"/>
          <w:lang w:val="en-US" w:eastAsia="zh-CN"/>
        </w:rPr>
        <w:t>款到发货，</w:t>
      </w:r>
      <w:r>
        <w:rPr>
          <w:rFonts w:ascii="宋体" w:hAnsi="宋体" w:eastAsia="宋体"/>
          <w:b/>
          <w:bCs/>
          <w:color w:val="auto"/>
          <w:kern w:val="20"/>
          <w:sz w:val="24"/>
          <w:szCs w:val="24"/>
          <w:highlight w:val="none"/>
        </w:rPr>
        <w:t>我方愿按《中华人民共和国</w:t>
      </w:r>
      <w:r>
        <w:rPr>
          <w:rFonts w:hint="eastAsia" w:ascii="宋体" w:hAnsi="宋体"/>
          <w:b/>
          <w:bCs/>
          <w:color w:val="auto"/>
          <w:kern w:val="20"/>
          <w:sz w:val="24"/>
          <w:szCs w:val="24"/>
          <w:highlight w:val="none"/>
          <w:lang w:eastAsia="zh-CN"/>
        </w:rPr>
        <w:t>民法典</w:t>
      </w:r>
      <w:r>
        <w:rPr>
          <w:rFonts w:ascii="宋体" w:hAnsi="宋体" w:eastAsia="宋体"/>
          <w:b/>
          <w:bCs/>
          <w:color w:val="auto"/>
          <w:kern w:val="20"/>
          <w:sz w:val="24"/>
          <w:szCs w:val="24"/>
          <w:highlight w:val="none"/>
        </w:rPr>
        <w:t>》，履行自己的全部责任。</w:t>
      </w:r>
    </w:p>
    <w:p w14:paraId="2C85C3F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color w:val="auto"/>
          <w:sz w:val="24"/>
          <w:highlight w:val="none"/>
        </w:rPr>
      </w:pPr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</w:t>
      </w:r>
      <w:bookmarkStart w:id="2" w:name="_GoBack"/>
      <w:bookmarkEnd w:id="2"/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                            投标</w:t>
      </w:r>
      <w:r>
        <w:rPr>
          <w:rFonts w:ascii="Times New Roman" w:hAnsi="宋体" w:eastAsia="宋体" w:cs="Times New Roman"/>
          <w:color w:val="auto"/>
          <w:sz w:val="24"/>
          <w:highlight w:val="none"/>
        </w:rPr>
        <w:t>单位：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color w:val="auto"/>
          <w:sz w:val="24"/>
          <w:highlight w:val="none"/>
        </w:rPr>
      </w:pPr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color w:val="auto"/>
          <w:sz w:val="24"/>
          <w:highlight w:val="none"/>
        </w:rPr>
        <w:t>全权代表签字：</w:t>
      </w:r>
    </w:p>
    <w:p w14:paraId="71A821F9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宋体" w:cs="Times New Roman"/>
          <w:color w:val="auto"/>
          <w:sz w:val="24"/>
          <w:highlight w:val="none"/>
          <w:lang w:val="en-US" w:eastAsia="zh-CN"/>
        </w:rPr>
        <w:t>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auto"/>
          <w:sz w:val="44"/>
          <w:szCs w:val="44"/>
          <w:highlight w:val="none"/>
          <w:lang w:val="en-US"/>
        </w:rPr>
      </w:pPr>
      <w:r>
        <w:rPr>
          <w:rFonts w:hint="eastAsia" w:ascii="Times New Roman" w:hAnsi="宋体" w:eastAsia="宋体" w:cs="Times New Roman"/>
          <w:color w:val="auto"/>
          <w:sz w:val="24"/>
          <w:highlight w:val="none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color w:val="auto"/>
          <w:sz w:val="24"/>
          <w:highlight w:val="none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2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3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jJlYWNkYTMzZGIwYWViZDA4YzViMmY0MDk0ZDQifQ=="/>
  </w:docVars>
  <w:rsids>
    <w:rsidRoot w:val="00000000"/>
    <w:rsid w:val="015674D5"/>
    <w:rsid w:val="044C6E68"/>
    <w:rsid w:val="057E5747"/>
    <w:rsid w:val="0ABD72DA"/>
    <w:rsid w:val="0AF57D60"/>
    <w:rsid w:val="0B73117E"/>
    <w:rsid w:val="0F1E5A65"/>
    <w:rsid w:val="109F041F"/>
    <w:rsid w:val="10BB0BE1"/>
    <w:rsid w:val="13A125E2"/>
    <w:rsid w:val="1D53162F"/>
    <w:rsid w:val="1F846B39"/>
    <w:rsid w:val="209C678F"/>
    <w:rsid w:val="277B1882"/>
    <w:rsid w:val="280549B9"/>
    <w:rsid w:val="2A0C4820"/>
    <w:rsid w:val="2A756CDB"/>
    <w:rsid w:val="2B944ACD"/>
    <w:rsid w:val="2EE04789"/>
    <w:rsid w:val="2F503401"/>
    <w:rsid w:val="30853869"/>
    <w:rsid w:val="3679323D"/>
    <w:rsid w:val="372F2600"/>
    <w:rsid w:val="37DE4C29"/>
    <w:rsid w:val="395260ED"/>
    <w:rsid w:val="3B321315"/>
    <w:rsid w:val="3BC671C9"/>
    <w:rsid w:val="3C982232"/>
    <w:rsid w:val="44253981"/>
    <w:rsid w:val="46E05110"/>
    <w:rsid w:val="48374147"/>
    <w:rsid w:val="49BC7211"/>
    <w:rsid w:val="4E834801"/>
    <w:rsid w:val="4FE5125E"/>
    <w:rsid w:val="52CD56E7"/>
    <w:rsid w:val="54D72830"/>
    <w:rsid w:val="55CB1E75"/>
    <w:rsid w:val="56372CA5"/>
    <w:rsid w:val="5754705F"/>
    <w:rsid w:val="5B04554B"/>
    <w:rsid w:val="5B8A6861"/>
    <w:rsid w:val="5BC0726D"/>
    <w:rsid w:val="5DDF25A5"/>
    <w:rsid w:val="5F6261AA"/>
    <w:rsid w:val="620F023A"/>
    <w:rsid w:val="67A82020"/>
    <w:rsid w:val="67BD1EAC"/>
    <w:rsid w:val="6C9F3D91"/>
    <w:rsid w:val="6FED137C"/>
    <w:rsid w:val="769A4536"/>
    <w:rsid w:val="772762A9"/>
    <w:rsid w:val="77570CBB"/>
    <w:rsid w:val="77DD78C7"/>
    <w:rsid w:val="794B2C94"/>
    <w:rsid w:val="7CB1024A"/>
    <w:rsid w:val="7DD859CB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0">
    <w:name w:val="Default Paragraph Font"/>
    <w:autoRedefine/>
    <w:qFormat/>
    <w:uiPriority w:val="1"/>
  </w:style>
  <w:style w:type="table" w:default="1" w:styleId="18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6">
    <w:name w:val="Body Text"/>
    <w:basedOn w:val="1"/>
    <w:autoRedefine/>
    <w:qFormat/>
    <w:uiPriority w:val="0"/>
  </w:style>
  <w:style w:type="paragraph" w:styleId="7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autoRedefine/>
    <w:qFormat/>
    <w:uiPriority w:val="0"/>
    <w:pPr>
      <w:ind w:left="840" w:leftChars="4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1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5">
    <w:name w:val="toc 2"/>
    <w:basedOn w:val="1"/>
    <w:next w:val="1"/>
    <w:autoRedefine/>
    <w:qFormat/>
    <w:uiPriority w:val="0"/>
    <w:pPr>
      <w:ind w:left="420" w:leftChars="200"/>
    </w:pPr>
  </w:style>
  <w:style w:type="paragraph" w:styleId="16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7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character" w:styleId="22">
    <w:name w:val="FollowedHyperlink"/>
    <w:basedOn w:val="20"/>
    <w:autoRedefine/>
    <w:qFormat/>
    <w:uiPriority w:val="0"/>
    <w:rPr>
      <w:color w:val="800080"/>
      <w:u w:val="single"/>
    </w:rPr>
  </w:style>
  <w:style w:type="character" w:styleId="23">
    <w:name w:val="Hyperlink"/>
    <w:basedOn w:val="20"/>
    <w:autoRedefine/>
    <w:qFormat/>
    <w:uiPriority w:val="99"/>
    <w:rPr>
      <w:color w:val="0000FF"/>
      <w:u w:val="single"/>
    </w:rPr>
  </w:style>
  <w:style w:type="paragraph" w:customStyle="1" w:styleId="24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customStyle="1" w:styleId="25">
    <w:name w:val="_Style 6"/>
    <w:basedOn w:val="2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0"/>
    <w:link w:val="11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0"/>
    <w:link w:val="7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0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0"/>
    <w:link w:val="13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0"/>
    <w:link w:val="12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5</Pages>
  <Words>990</Words>
  <Characters>1125</Characters>
  <Paragraphs>165</Paragraphs>
  <TotalTime>20</TotalTime>
  <ScaleCrop>false</ScaleCrop>
  <LinksUpToDate>false</LinksUpToDate>
  <CharactersWithSpaces>1183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2025-12-04T02:21:14Z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